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6B" w:rsidRPr="007A118D" w:rsidRDefault="0081176B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t xml:space="preserve">УРОВЕНЬ И СТРУКТУРА ДЕНЕЖНЫХ ДОХОДОВ ДОМАШНИХ 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 xml:space="preserve">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905370" w:rsidRPr="0090537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B11511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B11511" w:rsidRPr="00B11511" w:rsidRDefault="00B11511" w:rsidP="00B11511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B11511">
              <w:rPr>
                <w:b/>
                <w:bCs/>
                <w:sz w:val="20"/>
                <w:szCs w:val="20"/>
              </w:rPr>
              <w:t>1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</w:t>
            </w:r>
            <w:r w:rsidRPr="00B1151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ТИПУ НАСЕЛЕННЫХ ПУНКТОВ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81176B" w:rsidRPr="009367B2" w:rsidRDefault="0081176B" w:rsidP="006B364F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81176B" w:rsidRPr="008955AF" w:rsidRDefault="007A118D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="0081176B"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="0081176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81176B">
                <w:rPr>
                  <w:b/>
                  <w:bCs/>
                  <w:sz w:val="20"/>
                  <w:szCs w:val="20"/>
                </w:rPr>
                <w:t>–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81176B">
              <w:t xml:space="preserve"> </w:t>
            </w:r>
            <w:r w:rsidR="0081176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B11511">
        <w:trPr>
          <w:trHeight w:val="577"/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81176B" w:rsidRPr="0066075B" w:rsidRDefault="0081176B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81176B" w:rsidRPr="0075168F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091191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</w:t>
            </w:r>
            <w:r w:rsidR="00091191">
              <w:rPr>
                <w:b/>
                <w:bCs/>
                <w:sz w:val="20"/>
                <w:szCs w:val="20"/>
              </w:rPr>
              <w:t>ОБРАЗОВАНИЯ ГЛАВЫ ДОМОХОЗЯЙСТВА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8B08A6" w:rsidRDefault="0081176B" w:rsidP="00A35066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1297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F51297" w:rsidRPr="00D12659" w:rsidRDefault="00F51297" w:rsidP="00F51297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</w:p>
        </w:tc>
      </w:tr>
      <w:tr w:rsidR="0081176B" w:rsidRPr="00D319D6" w:rsidTr="00B11511">
        <w:trPr>
          <w:trHeight w:val="340"/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D12659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ВИДУ ЗАНЯТИЯ ГЛАВЫ ДОМОХОЗЯЙСТВА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7E1693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</w:tc>
      </w:tr>
      <w:tr w:rsidR="00654C09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654C09" w:rsidRPr="00556D60" w:rsidRDefault="00654C09" w:rsidP="00654C09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D00DEF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27749C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</w:p>
        </w:tc>
      </w:tr>
      <w:tr w:rsidR="0081176B" w:rsidRPr="00D319D6" w:rsidTr="00B11511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4C4C63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</w:p>
        </w:tc>
      </w:tr>
      <w:tr w:rsidR="0081176B" w:rsidRPr="00D319D6" w:rsidTr="00B11511">
        <w:trPr>
          <w:trHeight w:hRule="exact" w:val="567"/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81176B" w:rsidRPr="00C659E8" w:rsidRDefault="0081176B" w:rsidP="00E41578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9724E8" w:rsidRDefault="009724E8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EF5A62" w:rsidRDefault="00EF5A62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РАСПРЕДЕЛЕНИЕ ОБЩИХ ОБЪЕМОВ </w:t>
      </w:r>
      <w:r w:rsidR="00AE6052" w:rsidRPr="00AE605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И ОБЪЕМОВ СОСТАВНЫХ КОМПОНЕНТОВ  ДЕНЕЖНЫХ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E665AD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EF5A6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B66D7E" w:rsidRDefault="00EF5A62" w:rsidP="00F2438C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1.18 -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EF5A6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A0292E" w:rsidRDefault="00EF5A62" w:rsidP="00F2438C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 ДЕНЕЖНОГО ДОХОДА</w:t>
            </w:r>
          </w:p>
        </w:tc>
      </w:tr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2100DB" w:rsidRDefault="00EF5A62" w:rsidP="00F2438C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D27D2E" w:rsidRDefault="00EF5A62" w:rsidP="00F2438C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D25CD5" w:rsidRPr="00865607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:rsidR="00D25CD5" w:rsidRPr="00A94B7B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СОЦИАЛЬНЫХ ПОСОБИЙ</w:t>
      </w:r>
      <w:r w:rsidR="00F80438">
        <w:rPr>
          <w:b/>
          <w:bCs/>
          <w:sz w:val="22"/>
          <w:szCs w:val="22"/>
        </w:rPr>
        <w:t>, КОМПЕНСАЦИЙ И ИНЫХ ВЫПЛАТ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584F43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2B46BF" w:rsidRDefault="00371D9B" w:rsidP="00371D9B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371D9B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7A118D" w:rsidP="00371D9B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8" w:tgtFrame="_blank" w:history="1"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371D9B">
                <w:rPr>
                  <w:b/>
                  <w:bCs/>
                  <w:sz w:val="20"/>
                  <w:szCs w:val="20"/>
                </w:rPr>
                <w:t>2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371D9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371D9B">
                <w:rPr>
                  <w:b/>
                  <w:bCs/>
                  <w:sz w:val="20"/>
                  <w:szCs w:val="20"/>
                </w:rPr>
                <w:t>–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371D9B">
              <w:t xml:space="preserve"> </w:t>
            </w:r>
            <w:r w:rsidR="00371D9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371D9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371D9B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lastRenderedPageBreak/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</w:tc>
      </w:tr>
      <w:tr w:rsidR="002E1CDF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E1CDF" w:rsidRDefault="002E1CDF" w:rsidP="002E1CDF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Pr="00E94A67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</w:t>
            </w:r>
            <w:r w:rsidR="00530BF4">
              <w:rPr>
                <w:b/>
                <w:bCs/>
                <w:sz w:val="20"/>
                <w:szCs w:val="20"/>
              </w:rPr>
              <w:t xml:space="preserve">ЕДНЕДУШЕВОГО </w:t>
            </w:r>
            <w:r w:rsidR="00530BF4"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Pr="00E94A67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</w:p>
        </w:tc>
      </w:tr>
    </w:tbl>
    <w:p w:rsidR="009724E8" w:rsidRDefault="009724E8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7B3E97" w:rsidRDefault="007B3E97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7B3E97">
        <w:rPr>
          <w:b/>
          <w:bCs/>
          <w:sz w:val="22"/>
          <w:szCs w:val="22"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584F43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7B3E9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7B3E97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2.18 -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7B3E9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</w:t>
            </w:r>
            <w:r w:rsidR="00F606C7">
              <w:rPr>
                <w:b/>
                <w:bCs/>
                <w:sz w:val="20"/>
                <w:szCs w:val="20"/>
              </w:rPr>
              <w:t xml:space="preserve">ДНЕДУШЕВОГО </w:t>
            </w:r>
            <w:r w:rsidR="00F606C7">
              <w:rPr>
                <w:b/>
                <w:bCs/>
                <w:sz w:val="20"/>
                <w:szCs w:val="20"/>
              </w:rPr>
              <w:br/>
              <w:t xml:space="preserve">  ДЕНЕЖНОГО ДОХОДА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7B3E9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E0238F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7B3E9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</w:p>
        </w:tc>
      </w:tr>
    </w:tbl>
    <w:p w:rsidR="001B4D84" w:rsidRPr="00A94B7B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>УРОВЕНЬ И СТРУКТУРА СОВОКУПНЫХ ДОХОДОВ ДОМАШНИХ ХОЗЯЙСТВ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584F43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 ЧИСЛУ ЛИЦ И Ч</w:t>
            </w:r>
            <w:r w:rsidR="0074452C">
              <w:rPr>
                <w:b/>
                <w:bCs/>
                <w:sz w:val="20"/>
                <w:szCs w:val="20"/>
              </w:rPr>
              <w:t>ИСЛУ ДЕТЕЙ В ВОЗРАСТЕ ДО 18 ЛЕТ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7A118D" w:rsidP="001B4D84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9" w:tgtFrame="_blank" w:history="1"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1B4D84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1B4D84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1B4D84">
                <w:rPr>
                  <w:b/>
                  <w:bCs/>
                  <w:sz w:val="20"/>
                  <w:szCs w:val="20"/>
                </w:rPr>
                <w:t>–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1B4D84">
              <w:t xml:space="preserve"> </w:t>
            </w:r>
            <w:r w:rsidR="00406DDE">
              <w:rPr>
                <w:b/>
                <w:bCs/>
                <w:sz w:val="20"/>
                <w:szCs w:val="20"/>
              </w:rPr>
              <w:t xml:space="preserve">ПО ОСНОВНЫМ ДЕМОГРАФИЧЕСКИМ </w:t>
            </w:r>
            <w:r w:rsidR="001B4D84" w:rsidRPr="00007180">
              <w:rPr>
                <w:b/>
                <w:bCs/>
                <w:sz w:val="20"/>
                <w:szCs w:val="20"/>
              </w:rPr>
              <w:t>И СОЦИАЛЬНЫМ ГРУППАМ ДОМОХОЗЯЙСТВ</w:t>
            </w:r>
            <w:r w:rsidR="001B4D84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</w:t>
            </w:r>
            <w:r w:rsidR="00943C74">
              <w:rPr>
                <w:b/>
                <w:bCs/>
                <w:sz w:val="20"/>
                <w:szCs w:val="20"/>
              </w:rPr>
              <w:t>ОБРАЗОВАНИЯ ГЛАВЫ ДОМОХОЗЯЙСТВА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 </w:t>
            </w:r>
          </w:p>
        </w:tc>
      </w:tr>
      <w:tr w:rsidR="002825ED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825ED" w:rsidRDefault="002825ED" w:rsidP="002825ED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</w:p>
        </w:tc>
      </w:tr>
      <w:tr w:rsidR="0006728F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06728F" w:rsidRDefault="0006728F" w:rsidP="0006728F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В</w:t>
            </w:r>
            <w:r w:rsidR="00943C74">
              <w:rPr>
                <w:b/>
                <w:bCs/>
                <w:sz w:val="20"/>
                <w:szCs w:val="20"/>
              </w:rPr>
              <w:t>ИДУ ЗАНЯТИЯ ГЛАВЫ ДОМОХОЗЯЙСТВА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14213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B14213" w:rsidRDefault="00B14213" w:rsidP="00B14213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lastRenderedPageBreak/>
              <w:t>Таблица 4.1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</w:t>
            </w:r>
            <w:r w:rsidR="007835CE">
              <w:rPr>
                <w:b/>
                <w:bCs/>
                <w:sz w:val="20"/>
                <w:szCs w:val="20"/>
              </w:rPr>
              <w:t xml:space="preserve">ЕДНЕДУШЕВОГО </w:t>
            </w:r>
            <w:r w:rsidR="007835CE"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</w:p>
        </w:tc>
      </w:tr>
    </w:tbl>
    <w:p w:rsidR="009724E8" w:rsidRDefault="009724E8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B4D84" w:rsidRPr="001B4D84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 xml:space="preserve">РАСПРЕДЕЛЕНИЕ ОБЩИХ ОБЪЕМОВ И ОБЪЕМОВ СОСТАВНЫХ КОМПОНЕНТОВ  СОВОКУПНЫХ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584F43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1B4D84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1B032B">
            <w:pPr>
              <w:spacing w:before="60" w:after="120"/>
            </w:pPr>
            <w:r w:rsidRPr="001B4D84">
              <w:rPr>
                <w:b/>
                <w:bCs/>
                <w:sz w:val="20"/>
                <w:szCs w:val="20"/>
              </w:rPr>
              <w:t>Таблица 4.18 - ПО 10-ПРОЦЕНТНЫМ (ДЕЦИЛЬНЫМ) ГРУППАМ</w:t>
            </w:r>
          </w:p>
        </w:tc>
      </w:tr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E41578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4.19 – ПО ИНТЕРВАЛЬНЫМ ГРУППАМ В ЗАВИСИМОСТИ ОТ СРЕДНЕДУШЕВОГО </w:t>
            </w:r>
            <w:r w:rsidRPr="001B4D84">
              <w:rPr>
                <w:b/>
                <w:bCs/>
                <w:sz w:val="20"/>
                <w:szCs w:val="20"/>
              </w:rPr>
              <w:br/>
              <w:t>ДЕНЕЖНОГО ДОХОДА</w:t>
            </w:r>
          </w:p>
        </w:tc>
      </w:tr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1B032B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4.20 -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1B032B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4.21 - ПО 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</w:p>
        </w:tc>
      </w:tr>
    </w:tbl>
    <w:p w:rsidR="009724E8" w:rsidRDefault="009724E8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61133" w:rsidRDefault="00363EC6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РАЗМЕР И СОСТАВ ОБСЛЕДОВАННЫХ ДОМАШНИХ ХОЗЯЙСТВ  В </w:t>
      </w:r>
      <w:r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4F053D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5.1 - ПО ТИПУ НАСЕЛЕННЫХ ПУНКТОВ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5.3 – ПО ЧИСЛУ ЛИЦ И ЧИСЛУ ДЕТЕЙ В ВОЗРАСТЕ ДО 18 ЛЕТ</w:t>
            </w:r>
          </w:p>
        </w:tc>
      </w:tr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9724E8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5.4 – </w:t>
            </w:r>
            <w:r w:rsidR="009724E8" w:rsidRPr="00007180">
              <w:rPr>
                <w:b/>
                <w:bCs/>
                <w:sz w:val="20"/>
                <w:szCs w:val="20"/>
              </w:rPr>
              <w:t>ПО ОСНОВНЫМ ДЕМОГРАФИЧЕСКИМ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007180">
              <w:rPr>
                <w:b/>
                <w:bCs/>
                <w:sz w:val="20"/>
                <w:szCs w:val="20"/>
              </w:rPr>
              <w:t>И СОЦИАЛЬНЫМ ГРУППАМ ДОМОХОЗЯЙСТВ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724E8" w:rsidTr="0055039F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9724E8" w:rsidRDefault="009724E8" w:rsidP="009724E8">
            <w:pPr>
              <w:spacing w:before="60" w:after="1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5.13 –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9724E8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14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9724E8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6 - </w:t>
            </w:r>
            <w:r w:rsidR="009724E8" w:rsidRPr="00007180">
              <w:rPr>
                <w:b/>
                <w:bCs/>
                <w:sz w:val="20"/>
                <w:szCs w:val="20"/>
              </w:rPr>
              <w:t>ПО</w:t>
            </w:r>
            <w:r w:rsidR="009724E8"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="009724E8"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 w:rsidR="009724E8"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 w:rsidR="009724E8"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</w:p>
        </w:tc>
      </w:tr>
    </w:tbl>
    <w:p w:rsidR="009724E8" w:rsidRDefault="009724E8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</w:p>
    <w:p w:rsidR="001B032B" w:rsidRPr="001B032B" w:rsidRDefault="001B032B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  <w:r w:rsidRPr="001B032B">
        <w:rPr>
          <w:sz w:val="22"/>
          <w:szCs w:val="22"/>
        </w:rPr>
        <w:t>РАСПРЕДЕЛЕНИЕ СОСТАВА НАСЕЛЕНИЯ ПО ГРУППАМ С РАЗЛИЧНЫМ УРОВНЕМ СРЕДН</w:t>
      </w:r>
      <w:r>
        <w:rPr>
          <w:sz w:val="22"/>
          <w:szCs w:val="22"/>
        </w:rPr>
        <w:t>ЕДУШЕВЫХ ДЕНЕЖНЫХ ДОХОДОВ В 20</w:t>
      </w:r>
      <w:r w:rsidR="00181DCF">
        <w:rPr>
          <w:sz w:val="22"/>
          <w:szCs w:val="22"/>
        </w:rPr>
        <w:t>2</w:t>
      </w:r>
      <w:r w:rsidR="007A118D" w:rsidRPr="007A118D">
        <w:rPr>
          <w:sz w:val="22"/>
          <w:szCs w:val="22"/>
        </w:rPr>
        <w:t>2</w:t>
      </w:r>
      <w:bookmarkStart w:id="0" w:name="_GoBack"/>
      <w:bookmarkEnd w:id="0"/>
      <w:r w:rsidRPr="001B032B">
        <w:rPr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>Таблица 5.7 - ПО 10-ПРОЦЕНТНЫМ (ДЕЦИЛЬНЫМ) ГРУППАМ</w:t>
            </w:r>
          </w:p>
        </w:tc>
      </w:tr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CB7FED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 xml:space="preserve">Таблица 5.8 -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7A24C8" w:rsidRDefault="007A24C8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sectPr w:rsidR="001B032B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7180"/>
    <w:rsid w:val="00014B97"/>
    <w:rsid w:val="000231A1"/>
    <w:rsid w:val="00040A55"/>
    <w:rsid w:val="00062094"/>
    <w:rsid w:val="0006728F"/>
    <w:rsid w:val="00091191"/>
    <w:rsid w:val="000C2F4D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0642"/>
    <w:rsid w:val="001B2659"/>
    <w:rsid w:val="001B4D84"/>
    <w:rsid w:val="001C19CB"/>
    <w:rsid w:val="002100DB"/>
    <w:rsid w:val="00212B22"/>
    <w:rsid w:val="00244F8A"/>
    <w:rsid w:val="002524D0"/>
    <w:rsid w:val="0027418E"/>
    <w:rsid w:val="0027749C"/>
    <w:rsid w:val="002825ED"/>
    <w:rsid w:val="00284D56"/>
    <w:rsid w:val="002A0894"/>
    <w:rsid w:val="002A5141"/>
    <w:rsid w:val="002A5BE9"/>
    <w:rsid w:val="002B46BF"/>
    <w:rsid w:val="002E1CDF"/>
    <w:rsid w:val="002F1F36"/>
    <w:rsid w:val="002F27B9"/>
    <w:rsid w:val="00310DE2"/>
    <w:rsid w:val="00320835"/>
    <w:rsid w:val="00363EC6"/>
    <w:rsid w:val="00363EDE"/>
    <w:rsid w:val="00371D9B"/>
    <w:rsid w:val="0038469C"/>
    <w:rsid w:val="00395DE0"/>
    <w:rsid w:val="003C6571"/>
    <w:rsid w:val="003E266D"/>
    <w:rsid w:val="00402961"/>
    <w:rsid w:val="00406DDE"/>
    <w:rsid w:val="004073E1"/>
    <w:rsid w:val="004C1404"/>
    <w:rsid w:val="004C4C63"/>
    <w:rsid w:val="004D39B7"/>
    <w:rsid w:val="004D6654"/>
    <w:rsid w:val="004F053D"/>
    <w:rsid w:val="0050631A"/>
    <w:rsid w:val="005165B4"/>
    <w:rsid w:val="005304B8"/>
    <w:rsid w:val="00530BF4"/>
    <w:rsid w:val="0054343B"/>
    <w:rsid w:val="00556D60"/>
    <w:rsid w:val="0056088C"/>
    <w:rsid w:val="00581BF5"/>
    <w:rsid w:val="00584F43"/>
    <w:rsid w:val="005979D2"/>
    <w:rsid w:val="005F09B3"/>
    <w:rsid w:val="0064063F"/>
    <w:rsid w:val="00654C09"/>
    <w:rsid w:val="0066075B"/>
    <w:rsid w:val="00664FC4"/>
    <w:rsid w:val="0067211F"/>
    <w:rsid w:val="006B364F"/>
    <w:rsid w:val="006B7B36"/>
    <w:rsid w:val="006C21BA"/>
    <w:rsid w:val="007237D8"/>
    <w:rsid w:val="0073225A"/>
    <w:rsid w:val="0074452C"/>
    <w:rsid w:val="0075168F"/>
    <w:rsid w:val="00760A42"/>
    <w:rsid w:val="007654A1"/>
    <w:rsid w:val="007835CE"/>
    <w:rsid w:val="007924D4"/>
    <w:rsid w:val="007A118D"/>
    <w:rsid w:val="007A24C8"/>
    <w:rsid w:val="007B3E97"/>
    <w:rsid w:val="007B5FC5"/>
    <w:rsid w:val="007E1693"/>
    <w:rsid w:val="007F18BC"/>
    <w:rsid w:val="0081176B"/>
    <w:rsid w:val="00840CC8"/>
    <w:rsid w:val="00865607"/>
    <w:rsid w:val="00885BA0"/>
    <w:rsid w:val="008934D8"/>
    <w:rsid w:val="008955AF"/>
    <w:rsid w:val="008B08A6"/>
    <w:rsid w:val="008B5A8C"/>
    <w:rsid w:val="008C57C0"/>
    <w:rsid w:val="00905370"/>
    <w:rsid w:val="009308F4"/>
    <w:rsid w:val="009367B2"/>
    <w:rsid w:val="00943C74"/>
    <w:rsid w:val="009724E8"/>
    <w:rsid w:val="00A0292E"/>
    <w:rsid w:val="00A23389"/>
    <w:rsid w:val="00A24600"/>
    <w:rsid w:val="00A26339"/>
    <w:rsid w:val="00A279AF"/>
    <w:rsid w:val="00A35066"/>
    <w:rsid w:val="00A35926"/>
    <w:rsid w:val="00A94B7B"/>
    <w:rsid w:val="00AE40B6"/>
    <w:rsid w:val="00AE6052"/>
    <w:rsid w:val="00B1085A"/>
    <w:rsid w:val="00B11511"/>
    <w:rsid w:val="00B14213"/>
    <w:rsid w:val="00B66D7E"/>
    <w:rsid w:val="00B7153B"/>
    <w:rsid w:val="00B93EB7"/>
    <w:rsid w:val="00BD775A"/>
    <w:rsid w:val="00C2005F"/>
    <w:rsid w:val="00C3482B"/>
    <w:rsid w:val="00C43870"/>
    <w:rsid w:val="00C659E8"/>
    <w:rsid w:val="00C70BDF"/>
    <w:rsid w:val="00CA6960"/>
    <w:rsid w:val="00CB7FED"/>
    <w:rsid w:val="00CC1918"/>
    <w:rsid w:val="00CD4B42"/>
    <w:rsid w:val="00CF1EA9"/>
    <w:rsid w:val="00D00DEF"/>
    <w:rsid w:val="00D12659"/>
    <w:rsid w:val="00D25CD5"/>
    <w:rsid w:val="00D27D2E"/>
    <w:rsid w:val="00D30EF7"/>
    <w:rsid w:val="00D319D6"/>
    <w:rsid w:val="00D75A97"/>
    <w:rsid w:val="00DA7222"/>
    <w:rsid w:val="00DE456C"/>
    <w:rsid w:val="00E0238F"/>
    <w:rsid w:val="00E14A72"/>
    <w:rsid w:val="00E316FD"/>
    <w:rsid w:val="00E41578"/>
    <w:rsid w:val="00E44C2C"/>
    <w:rsid w:val="00E63CE6"/>
    <w:rsid w:val="00E665AD"/>
    <w:rsid w:val="00E82A40"/>
    <w:rsid w:val="00E94A67"/>
    <w:rsid w:val="00EB156E"/>
    <w:rsid w:val="00ED2B51"/>
    <w:rsid w:val="00EE2FF9"/>
    <w:rsid w:val="00EE30B3"/>
    <w:rsid w:val="00EF0B8C"/>
    <w:rsid w:val="00EF5A62"/>
    <w:rsid w:val="00F0598D"/>
    <w:rsid w:val="00F21E41"/>
    <w:rsid w:val="00F23A68"/>
    <w:rsid w:val="00F2438C"/>
    <w:rsid w:val="00F27B23"/>
    <w:rsid w:val="00F30EC1"/>
    <w:rsid w:val="00F51297"/>
    <w:rsid w:val="00F606C7"/>
    <w:rsid w:val="00F61790"/>
    <w:rsid w:val="00F71309"/>
    <w:rsid w:val="00F80438"/>
    <w:rsid w:val="00FE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C8997-4072-4998-99F6-51B189B2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Быкова Ольга Александровна</cp:lastModifiedBy>
  <cp:revision>87</cp:revision>
  <cp:lastPrinted>2024-08-19T04:37:00Z</cp:lastPrinted>
  <dcterms:created xsi:type="dcterms:W3CDTF">2023-06-28T01:35:00Z</dcterms:created>
  <dcterms:modified xsi:type="dcterms:W3CDTF">2024-08-19T04:39:00Z</dcterms:modified>
</cp:coreProperties>
</file>